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31DC8C0B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>2</w:t>
      </w:r>
      <w:r w:rsidR="00971E5B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E861D9">
        <w:rPr>
          <w:snapToGrid/>
          <w:color w:val="000000" w:themeColor="text1"/>
          <w:sz w:val="24"/>
          <w:szCs w:val="24"/>
        </w:rPr>
        <w:t>июля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1D20DE93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8F6C9E" w:rsidRPr="008F6C9E">
        <w:rPr>
          <w:color w:val="000000" w:themeColor="text1"/>
          <w:sz w:val="32"/>
          <w:szCs w:val="32"/>
        </w:rPr>
        <w:t>запасных частей к механическому оборудованию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 году </w:t>
      </w:r>
    </w:p>
    <w:p w14:paraId="0BD23864" w14:textId="2EA802D2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СКС-21</w:t>
      </w:r>
      <w:r w:rsidR="008F6C9E">
        <w:rPr>
          <w:b/>
          <w:sz w:val="32"/>
          <w:szCs w:val="32"/>
        </w:rPr>
        <w:t>82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680490E5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8F6C9E">
              <w:rPr>
                <w:b/>
                <w:color w:val="000000" w:themeColor="text1"/>
                <w:sz w:val="20"/>
              </w:rPr>
              <w:t>28.29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75B9D09A"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Лот №1 – </w:t>
            </w:r>
            <w:r w:rsidR="00E861D9">
              <w:rPr>
                <w:b/>
                <w:color w:val="000000" w:themeColor="text1"/>
                <w:sz w:val="20"/>
              </w:rPr>
              <w:t>28.</w:t>
            </w:r>
            <w:r w:rsidR="008F6C9E">
              <w:rPr>
                <w:b/>
                <w:color w:val="000000" w:themeColor="text1"/>
                <w:sz w:val="20"/>
              </w:rPr>
              <w:t>29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6D0B4A36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54F4366" w14:textId="652AE7D6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CD96584" w14:textId="3A0CDE13"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  <w:lang w:val="ru-RU"/>
              </w:rPr>
              <w:t>;</w:t>
            </w:r>
          </w:p>
          <w:p w14:paraId="7112BDAA" w14:textId="056E2197"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51395F4" w:rsidR="00987CF8" w:rsidRPr="00FB7EE5" w:rsidRDefault="008F6C9E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8F6C9E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Запчасти к механическому оборудованию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35678A2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4867C4BA"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8F6C9E">
              <w:rPr>
                <w:b/>
                <w:sz w:val="20"/>
                <w:szCs w:val="20"/>
              </w:rPr>
              <w:t>2 816 999,24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Официальное размещение Извещения и Документации о закупке на ЭТП и ЕИС;</w:t>
            </w:r>
          </w:p>
          <w:p w14:paraId="686EB0FC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3B8B0D0B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  <w:lang w:val="ru-RU"/>
              </w:rPr>
              <w:t>заявкам</w:t>
            </w:r>
            <w:r w:rsidRPr="001D0E23">
              <w:rPr>
                <w:sz w:val="20"/>
                <w:lang w:val="ru-RU"/>
              </w:rPr>
              <w:t>;</w:t>
            </w:r>
          </w:p>
          <w:p w14:paraId="71E86583" w14:textId="3233B9DD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14:paraId="64F3616F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D0E23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  <w:lang w:val="ru-RU" w:eastAsia="ru-RU"/>
              </w:rPr>
              <w:lastRenderedPageBreak/>
              <w:t>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0547670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2D1B2305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F48B9FC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71E5B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92382-5C7A-4845-99B6-6060DB5E9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13</Pages>
  <Words>5165</Words>
  <Characters>29444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34540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193</cp:revision>
  <cp:lastPrinted>2019-02-04T06:44:00Z</cp:lastPrinted>
  <dcterms:created xsi:type="dcterms:W3CDTF">2019-02-07T06:22:00Z</dcterms:created>
  <dcterms:modified xsi:type="dcterms:W3CDTF">2021-07-22T11:51:00Z</dcterms:modified>
</cp:coreProperties>
</file>